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281" w:rsidRDefault="00FD7281" w:rsidP="00FD7281">
      <w:pPr>
        <w:jc w:val="both"/>
        <w:rPr>
          <w:rFonts w:ascii="Arial" w:hAnsi="Arial" w:cs="Arial"/>
          <w:b/>
          <w:color w:val="000000"/>
          <w:sz w:val="44"/>
          <w:szCs w:val="21"/>
        </w:rPr>
      </w:pPr>
      <w:r w:rsidRPr="00FD7281">
        <w:rPr>
          <w:rFonts w:ascii="Arial" w:hAnsi="Arial" w:cs="Arial"/>
          <w:b/>
          <w:color w:val="000000"/>
          <w:sz w:val="44"/>
          <w:szCs w:val="21"/>
        </w:rPr>
        <w:t>Correção pregão do leite</w:t>
      </w:r>
      <w:r>
        <w:rPr>
          <w:rFonts w:ascii="Arial" w:hAnsi="Arial" w:cs="Arial"/>
          <w:b/>
          <w:color w:val="000000"/>
          <w:sz w:val="44"/>
          <w:szCs w:val="21"/>
        </w:rPr>
        <w:t xml:space="preserve"> nº 43</w:t>
      </w:r>
    </w:p>
    <w:p w:rsidR="00FD7281" w:rsidRPr="00FD7281" w:rsidRDefault="00FD7281" w:rsidP="00FD7281">
      <w:pPr>
        <w:jc w:val="both"/>
        <w:rPr>
          <w:rFonts w:ascii="Arial" w:hAnsi="Arial" w:cs="Arial"/>
          <w:b/>
          <w:color w:val="000000"/>
          <w:sz w:val="44"/>
          <w:szCs w:val="21"/>
        </w:rPr>
      </w:pPr>
    </w:p>
    <w:p w:rsidR="00FD7281" w:rsidRDefault="00FD7281" w:rsidP="00FD7281">
      <w:pPr>
        <w:jc w:val="both"/>
        <w:rPr>
          <w:rFonts w:ascii="Arial" w:hAnsi="Arial" w:cs="Arial"/>
          <w:b/>
          <w:color w:val="000000"/>
          <w:sz w:val="21"/>
          <w:szCs w:val="21"/>
        </w:rPr>
      </w:pPr>
    </w:p>
    <w:p w:rsidR="00FD7281" w:rsidRDefault="00FD7281" w:rsidP="00FD7281">
      <w:pPr>
        <w:jc w:val="both"/>
        <w:rPr>
          <w:rFonts w:ascii="Arial" w:hAnsi="Arial" w:cs="Arial"/>
          <w:b/>
          <w:color w:val="000000"/>
          <w:sz w:val="21"/>
          <w:szCs w:val="21"/>
        </w:rPr>
      </w:pPr>
    </w:p>
    <w:p w:rsidR="00FD7281" w:rsidRDefault="00FD7281" w:rsidP="00FD7281">
      <w:pPr>
        <w:jc w:val="both"/>
        <w:rPr>
          <w:rFonts w:ascii="Arial" w:hAnsi="Arial" w:cs="Arial"/>
          <w:b/>
          <w:color w:val="000000"/>
          <w:sz w:val="21"/>
          <w:szCs w:val="21"/>
        </w:rPr>
      </w:pPr>
    </w:p>
    <w:p w:rsidR="00FD7281" w:rsidRDefault="00FD7281" w:rsidP="00FD7281">
      <w:pPr>
        <w:jc w:val="both"/>
        <w:rPr>
          <w:rFonts w:ascii="Arial" w:hAnsi="Arial" w:cs="Arial"/>
          <w:b/>
          <w:color w:val="000000"/>
          <w:sz w:val="21"/>
          <w:szCs w:val="21"/>
        </w:rPr>
      </w:pPr>
    </w:p>
    <w:p w:rsidR="003544EF" w:rsidRDefault="00FD7281" w:rsidP="00FD7281">
      <w:pPr>
        <w:jc w:val="both"/>
        <w:rPr>
          <w:rFonts w:ascii="Arial" w:hAnsi="Arial" w:cs="Arial"/>
          <w:color w:val="000000"/>
          <w:sz w:val="21"/>
          <w:szCs w:val="21"/>
          <w:lang w:val="en-US"/>
        </w:rPr>
      </w:pPr>
      <w:r w:rsidRPr="00FD7281">
        <w:rPr>
          <w:rFonts w:ascii="Arial" w:hAnsi="Arial" w:cs="Arial"/>
          <w:b/>
          <w:color w:val="000000"/>
          <w:sz w:val="21"/>
          <w:szCs w:val="21"/>
        </w:rPr>
        <w:t>Item 08:</w:t>
      </w:r>
      <w:r>
        <w:rPr>
          <w:rFonts w:ascii="Arial" w:hAnsi="Arial" w:cs="Arial"/>
          <w:b/>
          <w:color w:val="000000"/>
          <w:sz w:val="21"/>
          <w:szCs w:val="21"/>
        </w:rPr>
        <w:t xml:space="preserve"> </w:t>
      </w:r>
      <w:r w:rsidRPr="009E05C9">
        <w:rPr>
          <w:rFonts w:ascii="Arial" w:hAnsi="Arial" w:cs="Arial"/>
          <w:color w:val="000000"/>
          <w:sz w:val="21"/>
          <w:szCs w:val="21"/>
        </w:rPr>
        <w:t xml:space="preserve">Alimento </w:t>
      </w:r>
      <w:proofErr w:type="spellStart"/>
      <w:r w:rsidRPr="009E05C9">
        <w:rPr>
          <w:rFonts w:ascii="Arial" w:hAnsi="Arial" w:cs="Arial"/>
          <w:color w:val="000000"/>
          <w:sz w:val="21"/>
          <w:szCs w:val="21"/>
        </w:rPr>
        <w:t>nutricionalmente</w:t>
      </w:r>
      <w:proofErr w:type="spellEnd"/>
      <w:r w:rsidRPr="009E05C9">
        <w:rPr>
          <w:rFonts w:ascii="Arial" w:hAnsi="Arial" w:cs="Arial"/>
          <w:color w:val="000000"/>
          <w:sz w:val="21"/>
          <w:szCs w:val="21"/>
        </w:rPr>
        <w:t xml:space="preserve"> completo para Nutrição </w:t>
      </w:r>
      <w:proofErr w:type="spellStart"/>
      <w:r w:rsidRPr="009E05C9">
        <w:rPr>
          <w:rFonts w:ascii="Arial" w:hAnsi="Arial" w:cs="Arial"/>
          <w:color w:val="000000"/>
          <w:sz w:val="21"/>
          <w:szCs w:val="21"/>
        </w:rPr>
        <w:t>Enteral</w:t>
      </w:r>
      <w:proofErr w:type="spellEnd"/>
      <w:r w:rsidRPr="009E05C9">
        <w:rPr>
          <w:rFonts w:ascii="Arial" w:hAnsi="Arial" w:cs="Arial"/>
          <w:color w:val="000000"/>
          <w:sz w:val="21"/>
          <w:szCs w:val="21"/>
        </w:rPr>
        <w:t xml:space="preserve"> ou Oral. Pode ser usado como nutrição total, ou como suplemento nutricional para reforçar os hábitos regulares de alimentação. Com densidade calórica de 1,0 /ml, e distribuição do VTC de 12% proteínas (31,0g/l), 53% de </w:t>
      </w:r>
      <w:proofErr w:type="spellStart"/>
      <w:r w:rsidRPr="009E05C9">
        <w:rPr>
          <w:rFonts w:ascii="Arial" w:hAnsi="Arial" w:cs="Arial"/>
          <w:color w:val="000000"/>
          <w:sz w:val="21"/>
          <w:szCs w:val="21"/>
        </w:rPr>
        <w:t>carboitrado</w:t>
      </w:r>
      <w:proofErr w:type="spellEnd"/>
      <w:r w:rsidRPr="009E05C9">
        <w:rPr>
          <w:rFonts w:ascii="Arial" w:hAnsi="Arial" w:cs="Arial"/>
          <w:color w:val="000000"/>
          <w:sz w:val="21"/>
          <w:szCs w:val="21"/>
        </w:rPr>
        <w:t xml:space="preserve"> (130,0g/l) e 35% lipídeos (39,0/l) Formulado com um mix de proteína animal contendo 61% </w:t>
      </w:r>
      <w:proofErr w:type="spellStart"/>
      <w:r w:rsidRPr="009E05C9">
        <w:rPr>
          <w:rFonts w:ascii="Arial" w:hAnsi="Arial" w:cs="Arial"/>
          <w:color w:val="000000"/>
          <w:sz w:val="21"/>
          <w:szCs w:val="21"/>
        </w:rPr>
        <w:t>caseinato</w:t>
      </w:r>
      <w:proofErr w:type="spellEnd"/>
      <w:r w:rsidRPr="009E05C9">
        <w:rPr>
          <w:rFonts w:ascii="Arial" w:hAnsi="Arial" w:cs="Arial"/>
          <w:color w:val="000000"/>
          <w:sz w:val="21"/>
          <w:szCs w:val="21"/>
        </w:rPr>
        <w:t xml:space="preserve"> de cálcio, 28% proteína isolada do soro do leite e 11% proteína concentrada do leite. </w:t>
      </w:r>
      <w:proofErr w:type="spellStart"/>
      <w:proofErr w:type="gramStart"/>
      <w:r w:rsidRPr="009E05C9">
        <w:rPr>
          <w:rFonts w:ascii="Arial" w:hAnsi="Arial" w:cs="Arial"/>
          <w:color w:val="000000"/>
          <w:sz w:val="21"/>
          <w:szCs w:val="21"/>
          <w:lang w:val="en-US"/>
        </w:rPr>
        <w:t>Isento</w:t>
      </w:r>
      <w:proofErr w:type="spellEnd"/>
      <w:r w:rsidRPr="009E05C9">
        <w:rPr>
          <w:rFonts w:ascii="Arial" w:hAnsi="Arial" w:cs="Arial"/>
          <w:color w:val="000000"/>
          <w:sz w:val="21"/>
          <w:szCs w:val="21"/>
          <w:lang w:val="en-US"/>
        </w:rPr>
        <w:t xml:space="preserve"> de lactose e </w:t>
      </w:r>
      <w:proofErr w:type="spellStart"/>
      <w:r w:rsidRPr="009E05C9">
        <w:rPr>
          <w:rFonts w:ascii="Arial" w:hAnsi="Arial" w:cs="Arial"/>
          <w:color w:val="000000"/>
          <w:sz w:val="21"/>
          <w:szCs w:val="21"/>
          <w:lang w:val="en-US"/>
        </w:rPr>
        <w:t>glúten</w:t>
      </w:r>
      <w:proofErr w:type="spellEnd"/>
      <w:r w:rsidRPr="009E05C9">
        <w:rPr>
          <w:rFonts w:ascii="Arial" w:hAnsi="Arial" w:cs="Arial"/>
          <w:color w:val="000000"/>
          <w:sz w:val="21"/>
          <w:szCs w:val="21"/>
          <w:lang w:val="en-US"/>
        </w:rPr>
        <w:t>.</w:t>
      </w:r>
      <w:proofErr w:type="gramEnd"/>
      <w:r w:rsidRPr="009E05C9">
        <w:rPr>
          <w:rFonts w:ascii="Arial" w:hAnsi="Arial" w:cs="Arial"/>
          <w:color w:val="000000"/>
          <w:sz w:val="21"/>
          <w:szCs w:val="21"/>
          <w:lang w:val="en-US"/>
        </w:rPr>
        <w:t xml:space="preserve"> </w:t>
      </w:r>
      <w:proofErr w:type="spellStart"/>
      <w:proofErr w:type="gramStart"/>
      <w:r w:rsidRPr="009E05C9">
        <w:rPr>
          <w:rFonts w:ascii="Arial" w:hAnsi="Arial" w:cs="Arial"/>
          <w:color w:val="000000"/>
          <w:sz w:val="21"/>
          <w:szCs w:val="21"/>
          <w:lang w:val="en-US"/>
        </w:rPr>
        <w:t>Embalagem</w:t>
      </w:r>
      <w:proofErr w:type="spellEnd"/>
      <w:r w:rsidRPr="009E05C9">
        <w:rPr>
          <w:rFonts w:ascii="Arial" w:hAnsi="Arial" w:cs="Arial"/>
          <w:color w:val="000000"/>
          <w:sz w:val="21"/>
          <w:szCs w:val="21"/>
          <w:lang w:val="en-US"/>
        </w:rPr>
        <w:t xml:space="preserve"> </w:t>
      </w:r>
      <w:proofErr w:type="spellStart"/>
      <w:r w:rsidRPr="009E05C9">
        <w:rPr>
          <w:rFonts w:ascii="Arial" w:hAnsi="Arial" w:cs="Arial"/>
          <w:color w:val="000000"/>
          <w:sz w:val="21"/>
          <w:szCs w:val="21"/>
          <w:lang w:val="en-US"/>
        </w:rPr>
        <w:t>Mínima</w:t>
      </w:r>
      <w:proofErr w:type="spellEnd"/>
      <w:r w:rsidRPr="009E05C9">
        <w:rPr>
          <w:rFonts w:ascii="Arial" w:hAnsi="Arial" w:cs="Arial"/>
          <w:color w:val="000000"/>
          <w:sz w:val="21"/>
          <w:szCs w:val="21"/>
          <w:lang w:val="en-US"/>
        </w:rPr>
        <w:t xml:space="preserve"> 400gr.</w:t>
      </w:r>
      <w:proofErr w:type="gramEnd"/>
    </w:p>
    <w:p w:rsidR="00FD7281" w:rsidRDefault="00FD7281" w:rsidP="00FD7281">
      <w:pPr>
        <w:jc w:val="both"/>
        <w:rPr>
          <w:rFonts w:ascii="Arial" w:hAnsi="Arial" w:cs="Arial"/>
          <w:color w:val="000000"/>
          <w:sz w:val="21"/>
          <w:szCs w:val="21"/>
          <w:lang w:val="en-US"/>
        </w:rPr>
      </w:pPr>
    </w:p>
    <w:p w:rsidR="00FD7281" w:rsidRPr="00FD7281" w:rsidRDefault="00FD7281" w:rsidP="00FD7281">
      <w:pPr>
        <w:jc w:val="both"/>
        <w:rPr>
          <w:b/>
        </w:rPr>
      </w:pPr>
      <w:r w:rsidRPr="00FD7281">
        <w:rPr>
          <w:rFonts w:ascii="Arial" w:hAnsi="Arial" w:cs="Arial"/>
          <w:b/>
          <w:color w:val="000000"/>
          <w:sz w:val="21"/>
          <w:szCs w:val="21"/>
        </w:rPr>
        <w:t xml:space="preserve">Item 10: </w:t>
      </w:r>
      <w:proofErr w:type="gramStart"/>
      <w:r w:rsidRPr="009E05C9">
        <w:rPr>
          <w:rFonts w:ascii="Arial" w:hAnsi="Arial" w:cs="Arial"/>
          <w:color w:val="000000"/>
          <w:sz w:val="21"/>
          <w:szCs w:val="21"/>
        </w:rPr>
        <w:t>Pó isento</w:t>
      </w:r>
      <w:proofErr w:type="gramEnd"/>
      <w:r w:rsidRPr="009E05C9">
        <w:rPr>
          <w:rFonts w:ascii="Arial" w:hAnsi="Arial" w:cs="Arial"/>
          <w:color w:val="000000"/>
          <w:sz w:val="21"/>
          <w:szCs w:val="21"/>
        </w:rPr>
        <w:t xml:space="preserve"> de lactose e glúten, indicado tanto para uso oral como </w:t>
      </w:r>
      <w:proofErr w:type="spellStart"/>
      <w:r w:rsidRPr="009E05C9">
        <w:rPr>
          <w:rFonts w:ascii="Arial" w:hAnsi="Arial" w:cs="Arial"/>
          <w:color w:val="000000"/>
          <w:sz w:val="21"/>
          <w:szCs w:val="21"/>
        </w:rPr>
        <w:t>enteral</w:t>
      </w:r>
      <w:proofErr w:type="spellEnd"/>
      <w:r w:rsidRPr="009E05C9">
        <w:rPr>
          <w:rFonts w:ascii="Arial" w:hAnsi="Arial" w:cs="Arial"/>
          <w:color w:val="000000"/>
          <w:sz w:val="21"/>
          <w:szCs w:val="21"/>
        </w:rPr>
        <w:t xml:space="preserve">. Sua distribuição energética é extremamente balanceada, sendo fonte de proteínas, fonte de carboidratos, fonte de fibras solúvel e insolúvel e fonte de lipídeos benéficos a saúde. Além disso, possui uma densidade energética ideal, de apenas </w:t>
      </w:r>
      <w:proofErr w:type="gramStart"/>
      <w:r w:rsidRPr="009E05C9">
        <w:rPr>
          <w:rFonts w:ascii="Arial" w:hAnsi="Arial" w:cs="Arial"/>
          <w:color w:val="000000"/>
          <w:sz w:val="21"/>
          <w:szCs w:val="21"/>
        </w:rPr>
        <w:t>1Kcal</w:t>
      </w:r>
      <w:proofErr w:type="gramEnd"/>
      <w:r w:rsidRPr="009E05C9">
        <w:rPr>
          <w:rFonts w:ascii="Arial" w:hAnsi="Arial" w:cs="Arial"/>
          <w:color w:val="000000"/>
          <w:sz w:val="21"/>
          <w:szCs w:val="21"/>
        </w:rPr>
        <w:t xml:space="preserve"> por ml.  </w:t>
      </w:r>
      <w:proofErr w:type="gramStart"/>
      <w:r w:rsidRPr="009E05C9">
        <w:rPr>
          <w:rFonts w:ascii="Arial" w:hAnsi="Arial" w:cs="Arial"/>
          <w:color w:val="000000"/>
          <w:sz w:val="21"/>
          <w:szCs w:val="21"/>
        </w:rPr>
        <w:t>em</w:t>
      </w:r>
      <w:proofErr w:type="gramEnd"/>
      <w:r w:rsidRPr="009E05C9">
        <w:rPr>
          <w:rFonts w:ascii="Arial" w:hAnsi="Arial" w:cs="Arial"/>
          <w:color w:val="000000"/>
          <w:sz w:val="21"/>
          <w:szCs w:val="21"/>
        </w:rPr>
        <w:t xml:space="preserve"> Pó é rico em ácidos graxos mono e poliinsaturados, formulado com um mix de proteínas animal e vegetal, isento de sacarose, lactose e glúten. </w:t>
      </w:r>
      <w:proofErr w:type="spellStart"/>
      <w:proofErr w:type="gramStart"/>
      <w:r w:rsidRPr="009E05C9">
        <w:rPr>
          <w:rFonts w:ascii="Arial" w:hAnsi="Arial" w:cs="Arial"/>
          <w:color w:val="000000"/>
          <w:sz w:val="21"/>
          <w:szCs w:val="21"/>
          <w:lang w:val="en-US"/>
        </w:rPr>
        <w:t>Embalagem</w:t>
      </w:r>
      <w:proofErr w:type="spellEnd"/>
      <w:r w:rsidRPr="009E05C9">
        <w:rPr>
          <w:rFonts w:ascii="Arial" w:hAnsi="Arial" w:cs="Arial"/>
          <w:color w:val="000000"/>
          <w:sz w:val="21"/>
          <w:szCs w:val="21"/>
          <w:lang w:val="en-US"/>
        </w:rPr>
        <w:t xml:space="preserve"> </w:t>
      </w:r>
      <w:proofErr w:type="spellStart"/>
      <w:r w:rsidRPr="009E05C9">
        <w:rPr>
          <w:rFonts w:ascii="Arial" w:hAnsi="Arial" w:cs="Arial"/>
          <w:color w:val="000000"/>
          <w:sz w:val="21"/>
          <w:szCs w:val="21"/>
          <w:lang w:val="en-US"/>
        </w:rPr>
        <w:t>Mínima</w:t>
      </w:r>
      <w:proofErr w:type="spellEnd"/>
      <w:r w:rsidRPr="009E05C9">
        <w:rPr>
          <w:rFonts w:ascii="Arial" w:hAnsi="Arial" w:cs="Arial"/>
          <w:color w:val="000000"/>
          <w:sz w:val="21"/>
          <w:szCs w:val="21"/>
          <w:lang w:val="en-US"/>
        </w:rPr>
        <w:t xml:space="preserve"> 400gr.</w:t>
      </w:r>
      <w:proofErr w:type="gramEnd"/>
    </w:p>
    <w:sectPr w:rsidR="00FD7281" w:rsidRPr="00FD7281" w:rsidSect="003544E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7281"/>
    <w:rsid w:val="003544EF"/>
    <w:rsid w:val="00E36B54"/>
    <w:rsid w:val="00E95915"/>
    <w:rsid w:val="00FD6697"/>
    <w:rsid w:val="00FD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4E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908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Licitação02</dc:creator>
  <cp:lastModifiedBy>Licitação02</cp:lastModifiedBy>
  <cp:revision>1</cp:revision>
  <dcterms:created xsi:type="dcterms:W3CDTF">2019-01-31T17:01:00Z</dcterms:created>
  <dcterms:modified xsi:type="dcterms:W3CDTF">2019-01-31T17:03:00Z</dcterms:modified>
</cp:coreProperties>
</file>